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35ECD72B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6509D5">
        <w:rPr>
          <w:rFonts w:ascii="Poppins" w:hAnsi="Poppins" w:cs="Poppins"/>
          <w:sz w:val="20"/>
          <w:szCs w:val="20"/>
        </w:rPr>
        <w:t>2</w:t>
      </w:r>
      <w:r w:rsidR="002B6D87">
        <w:rPr>
          <w:rFonts w:ascii="Poppins" w:hAnsi="Poppins" w:cs="Poppins"/>
          <w:sz w:val="20"/>
          <w:szCs w:val="20"/>
        </w:rPr>
        <w:t>2</w:t>
      </w:r>
      <w:r w:rsidR="00BF2F46">
        <w:rPr>
          <w:rFonts w:ascii="Poppins" w:hAnsi="Poppins" w:cs="Poppins"/>
          <w:sz w:val="20"/>
          <w:szCs w:val="20"/>
        </w:rPr>
        <w:t>.</w:t>
      </w:r>
      <w:r w:rsidR="006509D5">
        <w:rPr>
          <w:rFonts w:ascii="Poppins" w:hAnsi="Poppins" w:cs="Poppins"/>
          <w:sz w:val="20"/>
          <w:szCs w:val="20"/>
        </w:rPr>
        <w:t>11</w:t>
      </w:r>
      <w:r w:rsidR="00BF2F46">
        <w:rPr>
          <w:rFonts w:ascii="Poppins" w:hAnsi="Poppins" w:cs="Poppins"/>
          <w:sz w:val="20"/>
          <w:szCs w:val="20"/>
        </w:rPr>
        <w:t>.202</w:t>
      </w:r>
      <w:r w:rsidR="006C07E3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1907DD98" w14:textId="37D9554A" w:rsidR="00CA33AD" w:rsidRDefault="00293F01" w:rsidP="00CA33AD">
      <w:pPr>
        <w:rPr>
          <w:rFonts w:ascii="Poppins" w:hAnsi="Poppins" w:cs="Poppins"/>
          <w:sz w:val="24"/>
          <w:szCs w:val="24"/>
        </w:rPr>
      </w:pPr>
      <w:r w:rsidRPr="00293F01">
        <w:rPr>
          <w:rFonts w:ascii="Poppins" w:hAnsi="Poppins" w:cs="Poppins"/>
          <w:sz w:val="24"/>
          <w:szCs w:val="24"/>
        </w:rPr>
        <w:t xml:space="preserve">Autor: </w:t>
      </w:r>
      <w:r w:rsidR="00BF2F46">
        <w:rPr>
          <w:rFonts w:ascii="Poppins" w:hAnsi="Poppins" w:cs="Poppins"/>
          <w:sz w:val="24"/>
          <w:szCs w:val="24"/>
        </w:rPr>
        <w:t>Jarosław Jędrzyński</w:t>
      </w:r>
      <w:r w:rsidR="00622915">
        <w:rPr>
          <w:rFonts w:ascii="Poppins" w:hAnsi="Poppins" w:cs="Poppins"/>
          <w:sz w:val="24"/>
          <w:szCs w:val="24"/>
        </w:rPr>
        <w:t>, ekspert portalu RynekPierwotny.pl</w:t>
      </w:r>
    </w:p>
    <w:p w14:paraId="77C5CE5B" w14:textId="77777777" w:rsidR="006509D5" w:rsidRPr="00622915" w:rsidRDefault="006509D5" w:rsidP="006509D5">
      <w:pPr>
        <w:spacing w:before="120" w:after="120" w:line="240" w:lineRule="auto"/>
        <w:rPr>
          <w:rFonts w:ascii="Poppins" w:hAnsi="Poppins" w:cs="Poppins"/>
          <w:b/>
          <w:bCs/>
          <w:kern w:val="2"/>
          <w:sz w:val="40"/>
          <w:szCs w:val="40"/>
          <w14:ligatures w14:val="standardContextual"/>
        </w:rPr>
      </w:pPr>
      <w:r w:rsidRPr="00622915">
        <w:rPr>
          <w:rFonts w:ascii="Poppins" w:hAnsi="Poppins" w:cs="Poppins"/>
          <w:b/>
          <w:bCs/>
          <w:kern w:val="2"/>
          <w:sz w:val="40"/>
          <w:szCs w:val="40"/>
          <w14:ligatures w14:val="standardContextual"/>
        </w:rPr>
        <w:t>WIG-Nieruchomości w odwrocie. Co dalej z hossą deweloperów?</w:t>
      </w:r>
    </w:p>
    <w:p w14:paraId="7A8A652D" w14:textId="2C04F18E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  <w:t xml:space="preserve">W ciągu pięciu powyborczych tygodni indeks WIG-Nieruchomości znalazł się na </w:t>
      </w:r>
      <w:r w:rsidR="008B1265"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  <w:t>pięcio</w:t>
      </w:r>
      <w:r w:rsidRPr="00622915"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  <w:t>procentowym minusie. Nie byłoby może w tym nic nadzwyczajnego, gdyby nie oznaczało to kompletnego oderwania sektora dewelopersko-nieruchomościowego od wyjątkowo prowzrostowego stanu koniunktury giełdowej szerokiego rynku. Podobny stan rzeczy wydaje się być historycznym precedensem, niestety z dość trudną interpretacją.</w:t>
      </w:r>
    </w:p>
    <w:p w14:paraId="2A5873BF" w14:textId="77777777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  <w:t>Niemoc notowań deweloperów giełdowych</w:t>
      </w:r>
    </w:p>
    <w:p w14:paraId="1E5D3EBB" w14:textId="77777777" w:rsidR="006509D5" w:rsidRDefault="006509D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Akcjonariuszom spółek deweloperskich zapewne na długo utkwi w pamięci sesja z początku września tuż po obniżce stóp procentowych o ¾ pp. O tyle ostre co absolutnie nieoczekiwane cięcie autorstwa RPP wywołało niemal paniczną wyprzedaż zarówno akcji na GPW jak i rodzimej waluty, ze skutkiem jej rekordowego osłabienia. Tymczasem indeks WIG-Nieruchomości zareagował dokładnie odwrotnie – euforycznym wybiciem ponad wartość 4 tys. punktów, do rekordowych poziomów swej już 11-letniej hossy, a także mocnym sygnałem kupna. </w:t>
      </w:r>
    </w:p>
    <w:p w14:paraId="3166F396" w14:textId="166FB362" w:rsidR="008B1265" w:rsidRPr="00622915" w:rsidRDefault="008B126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>
        <w:rPr>
          <w:rFonts w:ascii="Poppins" w:hAnsi="Poppins" w:cs="Poppins"/>
          <w:noProof/>
          <w:kern w:val="2"/>
          <w:sz w:val="21"/>
          <w:szCs w:val="21"/>
          <w14:ligatures w14:val="standardContextual"/>
        </w:rPr>
        <w:drawing>
          <wp:inline distT="0" distB="0" distL="0" distR="0" wp14:anchorId="57568080" wp14:editId="518FD874">
            <wp:extent cx="6638925" cy="4076700"/>
            <wp:effectExtent l="0" t="0" r="9525" b="0"/>
            <wp:docPr id="14384495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6066" w14:textId="2E1EBF27" w:rsidR="00412926" w:rsidRPr="00622915" w:rsidRDefault="008B126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Jak wskazują eksperci portalu </w:t>
      </w:r>
      <w:hyperlink r:id="rId8" w:history="1">
        <w:r w:rsidRPr="008B1265">
          <w:rPr>
            <w:rStyle w:val="Hipercze"/>
            <w:rFonts w:ascii="Poppins" w:hAnsi="Poppins" w:cs="Poppins"/>
            <w:kern w:val="2"/>
            <w:sz w:val="21"/>
            <w:szCs w:val="21"/>
            <w14:ligatures w14:val="standardContextual"/>
          </w:rPr>
          <w:t>RynekPierwotny.pl</w:t>
        </w:r>
      </w:hyperlink>
      <w:r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 n</w:t>
      </w:r>
      <w:r w:rsidR="006509D5"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iestety euforia nie potrwała zbyt długo, podobnie jak i wiarygodność wspomnianego sygnału, a jeszcze tego samego dnia zamknięcie sesji nieruchomościowego wskaźnika koniunktury wypadło sporo poniżej okrągłej wartości, a kolejne „górki </w:t>
      </w:r>
      <w:r w:rsidR="006509D5"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lastRenderedPageBreak/>
        <w:t xml:space="preserve">i dołki” notowań od tamtej pory wypadają już na coraz niższych poziomach, skutkując sygnałami sprzedaży akcji deweloperów, z przełamaniem linii ponad rocznej fali wzrostowej na czele. Nie to wydaje się jednak najbardziej niepokojące.      </w:t>
      </w:r>
    </w:p>
    <w:p w14:paraId="513324EA" w14:textId="4DAC744C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Szczególne obawy akcjonariuszy spółek deweloperskich, jak i innych o profilu nieruchomościowym notowanych na parkiecie rodzimej giełdy, może budzić sytuacja niemal kompletnej utraty korelacji subindeksu WIG-Nieruchomości z szerokim rynkiem. W ciągu pięciu tygodni jakie upłynęły od dnia wyborów parlamentarnych w połowie września, główne indeksy GPW zyskały na fali powyborczej euforii od 12 </w:t>
      </w:r>
      <w:r w:rsidR="008B126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proc. </w:t>
      </w: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do ponad 14 proc. odpowiednio w przypadku WIG i WIG-20. </w:t>
      </w:r>
    </w:p>
    <w:p w14:paraId="321BFD46" w14:textId="274A329E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>Jak</w:t>
      </w:r>
      <w:r w:rsidR="008B126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 zauważają eksperci portalu RynekPierwotny.pl</w:t>
      </w: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 wyceny innych sektorów uczestniczących w rynku nieruchomości poszybowały w tym samym okresie w imponującym stylu, w przypadku WIG-Banki o, bagatela, prawie 25 proc., a giełdowej budowlanki o solidne 9 proc. Pytanie, skąd w tego typu okolicznościach totalna niemoc notowań deweloperów i innych spółek z segmentu nieruchomości, skutkująca ich średnio 5-procentową przeceną. </w:t>
      </w:r>
    </w:p>
    <w:p w14:paraId="236B2995" w14:textId="77777777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  <w:t>Rekordowe wyniki kwartalne</w:t>
      </w:r>
    </w:p>
    <w:p w14:paraId="6127021B" w14:textId="0FA0E3F2" w:rsidR="006509D5" w:rsidRPr="00622915" w:rsidRDefault="006509D5" w:rsidP="00622915">
      <w:pPr>
        <w:spacing w:before="120" w:after="120" w:line="240" w:lineRule="auto"/>
        <w:jc w:val="both"/>
        <w:rPr>
          <w:rFonts w:ascii="Poppins" w:hAnsi="Poppins" w:cs="Poppins"/>
          <w:kern w:val="2"/>
          <w:sz w:val="21"/>
          <w:szCs w:val="21"/>
          <w14:ligatures w14:val="standardContextual"/>
        </w:rPr>
      </w:pP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Osłabienie notowań giełdowego wskaźnika spółek nieruchomościowych, na który decydujący wpływ mają deweloperzy o profilu mieszkaniowym, można wytłumaczyć jedynie oczekiwanym spadkiem ich zyskowności w następstwie wyraźnego regresu kontraktacji, tudzież spadkiem marż, czyli w sumie nadchodzącym </w:t>
      </w:r>
      <w:r w:rsidR="008B1265">
        <w:rPr>
          <w:rFonts w:ascii="Poppins" w:hAnsi="Poppins" w:cs="Poppins"/>
          <w:kern w:val="2"/>
          <w:sz w:val="21"/>
          <w:szCs w:val="21"/>
          <w14:ligatures w14:val="standardContextual"/>
        </w:rPr>
        <w:t>spowolnieniem</w:t>
      </w:r>
      <w:r w:rsidRPr="00622915">
        <w:rPr>
          <w:rFonts w:ascii="Poppins" w:hAnsi="Poppins" w:cs="Poppins"/>
          <w:kern w:val="2"/>
          <w:sz w:val="21"/>
          <w:szCs w:val="21"/>
          <w14:ligatures w14:val="standardContextual"/>
        </w:rPr>
        <w:t xml:space="preserve"> koniunktury rynku pierwotnego. Tymczasem jak pokazały wyniki za III kwartał br., na razie na nic takiego się nie zanosi.</w:t>
      </w:r>
    </w:p>
    <w:p w14:paraId="3088C2DD" w14:textId="4A4293AC" w:rsidR="006509D5" w:rsidRPr="00622915" w:rsidRDefault="006509D5" w:rsidP="00622915">
      <w:pPr>
        <w:widowControl w:val="0"/>
        <w:suppressAutoHyphens/>
        <w:autoSpaceDN w:val="0"/>
        <w:spacing w:before="120" w:after="120" w:line="240" w:lineRule="auto"/>
        <w:jc w:val="both"/>
        <w:rPr>
          <w:rFonts w:ascii="Poppins" w:eastAsia="Calibri" w:hAnsi="Poppins" w:cs="Poppins"/>
          <w:kern w:val="3"/>
          <w:sz w:val="21"/>
          <w:szCs w:val="21"/>
          <w:lang w:eastAsia="zh-CN" w:bidi="hi-IN"/>
        </w:rPr>
      </w:pPr>
      <w:r w:rsidRPr="00622915">
        <w:rPr>
          <w:rFonts w:ascii="Poppins" w:eastAsia="Calibri" w:hAnsi="Poppins" w:cs="Poppins"/>
          <w:kern w:val="3"/>
          <w:sz w:val="21"/>
          <w:szCs w:val="21"/>
          <w:lang w:eastAsia="zh-CN" w:bidi="hi-IN"/>
        </w:rPr>
        <w:t>Notowana na rodzimej GPW stawka piętnastu deweloperów mieszkaniowych, w okresie od lipca do września br. znalazła nabywców na ponad 7 tys. lokali. To o 87 proc. więcej licząc rok do roku i 17 proc. w relacji kwartał do kwartału. Podobnie optymistycznie prezentuje się wynik ogółem od początku roku na poziomie niespełna 18 tys. lokali, oznaczający progres w stosunku do analogicznego okresu roku ubiegłego o ponad jedną trzecią.</w:t>
      </w:r>
    </w:p>
    <w:p w14:paraId="09A87832" w14:textId="77777777" w:rsidR="006509D5" w:rsidRPr="00622915" w:rsidRDefault="006509D5" w:rsidP="00622915">
      <w:pPr>
        <w:widowControl w:val="0"/>
        <w:suppressAutoHyphens/>
        <w:autoSpaceDN w:val="0"/>
        <w:spacing w:before="120" w:after="120" w:line="240" w:lineRule="auto"/>
        <w:jc w:val="both"/>
        <w:rPr>
          <w:rFonts w:ascii="Poppins" w:eastAsia="Calibri" w:hAnsi="Poppins" w:cs="Poppins"/>
          <w:kern w:val="3"/>
          <w:sz w:val="21"/>
          <w:szCs w:val="21"/>
          <w:lang w:eastAsia="zh-CN" w:bidi="hi-IN"/>
        </w:rPr>
      </w:pPr>
      <w:r w:rsidRPr="00622915">
        <w:rPr>
          <w:rFonts w:ascii="Poppins" w:eastAsia="Calibri" w:hAnsi="Poppins" w:cs="Poppins"/>
          <w:kern w:val="3"/>
          <w:sz w:val="21"/>
          <w:szCs w:val="21"/>
          <w:lang w:eastAsia="zh-CN" w:bidi="hi-IN"/>
        </w:rPr>
        <w:t>Na ile udanym okresem sprzedażowym okazał się dla deweloperów giełdowych miniony kwartał, niech świadczy fakt, że w historii notowań ilość przypadków, w których ich kwartalna kontraktacja przekroczyła poziom 7 tys. lokali, można dosłownie policzyć na palcach jednej ręki. Co więcej, nie sposób jest trafić w obecnych czasach na jakiekolwiek pesymistyczne prognozy dotyczące kondycji rynku deweloperskiego w przewidywalnej przyszłości. Skąd zatem obawy inwestorów giełdowych, artykułowane coraz wyraźniej kulejącym popytem na walory tuzów branży deweloperskiej?</w:t>
      </w:r>
    </w:p>
    <w:p w14:paraId="1F17DCD3" w14:textId="77777777" w:rsidR="006509D5" w:rsidRPr="00622915" w:rsidRDefault="006509D5" w:rsidP="00622915">
      <w:pPr>
        <w:widowControl w:val="0"/>
        <w:suppressAutoHyphens/>
        <w:autoSpaceDN w:val="0"/>
        <w:spacing w:before="120" w:after="120" w:line="240" w:lineRule="auto"/>
        <w:jc w:val="both"/>
        <w:rPr>
          <w:rFonts w:ascii="Poppins" w:hAnsi="Poppins" w:cs="Poppins"/>
          <w:b/>
          <w:bCs/>
          <w:kern w:val="2"/>
          <w:sz w:val="21"/>
          <w:szCs w:val="21"/>
          <w14:ligatures w14:val="standardContextual"/>
        </w:rPr>
      </w:pPr>
      <w:r w:rsidRPr="00622915">
        <w:rPr>
          <w:rFonts w:ascii="Poppins" w:eastAsia="Calibri" w:hAnsi="Poppins" w:cs="Poppins"/>
          <w:b/>
          <w:bCs/>
          <w:kern w:val="3"/>
          <w:sz w:val="21"/>
          <w:szCs w:val="21"/>
          <w:lang w:eastAsia="zh-CN" w:bidi="hi-IN"/>
        </w:rPr>
        <w:t xml:space="preserve">Czyżby jednak obawa o (nie)Bezpieczny Kredyt 2 procent? </w:t>
      </w:r>
    </w:p>
    <w:p w14:paraId="717F4924" w14:textId="7B52B2FD" w:rsidR="006509D5" w:rsidRPr="00622915" w:rsidRDefault="006509D5" w:rsidP="00622915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622915">
        <w:rPr>
          <w:rFonts w:ascii="Poppins" w:eastAsia="Calibri" w:hAnsi="Poppins" w:cs="Poppins"/>
          <w:bCs/>
          <w:sz w:val="21"/>
          <w:szCs w:val="21"/>
        </w:rPr>
        <w:t>Jak wiadomo za tegoroczną poprawę koniunktury sprzedażowej pierwotnego segmentu mieszkaniówki odpowiada</w:t>
      </w:r>
      <w:r w:rsidR="008B1265">
        <w:rPr>
          <w:rFonts w:ascii="Poppins" w:eastAsia="Calibri" w:hAnsi="Poppins" w:cs="Poppins"/>
          <w:bCs/>
          <w:sz w:val="21"/>
          <w:szCs w:val="21"/>
        </w:rPr>
        <w:t xml:space="preserve"> </w:t>
      </w:r>
      <w:r w:rsidRPr="00622915">
        <w:rPr>
          <w:rFonts w:ascii="Poppins" w:eastAsia="Calibri" w:hAnsi="Poppins" w:cs="Poppins"/>
          <w:bCs/>
          <w:sz w:val="21"/>
          <w:szCs w:val="21"/>
        </w:rPr>
        <w:t xml:space="preserve">program dopłat do kredytów mieszkaniowych BK2%. Już sama perspektywa jego uruchomienia w połowie roku coraz bardziej elektryzowała rynek, przyspieszając decyzje zakupowe tysięcy inwestorów indywidualnych, nabywających nowe lokale zarówno na coraz bardziej dostępny kredyt albo za gotówkę. </w:t>
      </w:r>
    </w:p>
    <w:p w14:paraId="3B25D6A6" w14:textId="3F5AD821" w:rsidR="006509D5" w:rsidRPr="00622915" w:rsidRDefault="00BC6366" w:rsidP="00622915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>
        <w:rPr>
          <w:rFonts w:ascii="Poppins" w:eastAsia="Calibri" w:hAnsi="Poppins" w:cs="Poppins"/>
          <w:bCs/>
          <w:sz w:val="21"/>
          <w:szCs w:val="21"/>
        </w:rPr>
        <w:t>J</w:t>
      </w:r>
      <w:r w:rsidR="009375F2">
        <w:rPr>
          <w:rFonts w:ascii="Poppins" w:eastAsia="Calibri" w:hAnsi="Poppins" w:cs="Poppins"/>
          <w:bCs/>
          <w:sz w:val="21"/>
          <w:szCs w:val="21"/>
        </w:rPr>
        <w:t xml:space="preserve">ak wskazują eksperci portalu RynekPierwotny.pl, </w:t>
      </w:r>
      <w:r w:rsidR="006509D5" w:rsidRPr="00622915">
        <w:rPr>
          <w:rFonts w:ascii="Poppins" w:eastAsia="Calibri" w:hAnsi="Poppins" w:cs="Poppins"/>
          <w:bCs/>
          <w:sz w:val="21"/>
          <w:szCs w:val="21"/>
        </w:rPr>
        <w:t xml:space="preserve">od początku misji programu dopłat do kredytów mieszkaniowych do dziś liczba wniosków o BK2% osiągnęła wyśrubowany poziom 70 tys. oraz 35 tys. decyzji. Z tej puli zapewne istotna część wsparła statystyki sprzedażowe deweloperów mieszkaniowych, w tym i omawianą stawkę spółek giełdowych. </w:t>
      </w:r>
    </w:p>
    <w:p w14:paraId="35A87FCA" w14:textId="50FE3A5C" w:rsidR="006509D5" w:rsidRPr="00622915" w:rsidRDefault="006509D5" w:rsidP="00622915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622915">
        <w:rPr>
          <w:rFonts w:ascii="Poppins" w:eastAsia="Calibri" w:hAnsi="Poppins" w:cs="Poppins"/>
          <w:bCs/>
          <w:sz w:val="21"/>
          <w:szCs w:val="21"/>
        </w:rPr>
        <w:lastRenderedPageBreak/>
        <w:t>Sęk w tym, że BK2% to typowy koniunkturalny dopalacz, sztuczny stymulator popytu oraz mało przewidywalny instrument wspierający okresowo rynek mieszkaniowy, windujący ceny mieszkań zarówno nowych jak i z drugiej ręki, ale co gorsza mocn</w:t>
      </w:r>
      <w:r w:rsidR="0033008E">
        <w:rPr>
          <w:rFonts w:ascii="Poppins" w:eastAsia="Calibri" w:hAnsi="Poppins" w:cs="Poppins"/>
          <w:bCs/>
          <w:sz w:val="21"/>
          <w:szCs w:val="21"/>
        </w:rPr>
        <w:t>o</w:t>
      </w:r>
      <w:r w:rsidRPr="00622915">
        <w:rPr>
          <w:rFonts w:ascii="Poppins" w:eastAsia="Calibri" w:hAnsi="Poppins" w:cs="Poppins"/>
          <w:bCs/>
          <w:sz w:val="21"/>
          <w:szCs w:val="21"/>
        </w:rPr>
        <w:t xml:space="preserve"> drenujący rynkową ofertę. Szczególnie niepokojąco prezentuje się jej spadek na rynku pierwotnym, będący pokłosiem ograniczania produkcji mieszkań przez deweloperów. Co prawda w październiku relacje popytowo-podażowe pierwotnego segmentu mieszkaniówki uległy kosmetycznej poprawie, jednak ostatnie „gorące” tygodnie roku mogą tę kruchą odbudowę ponownie pogrążyć.</w:t>
      </w:r>
    </w:p>
    <w:p w14:paraId="1C3B27ED" w14:textId="77777777" w:rsidR="006509D5" w:rsidRPr="00622915" w:rsidRDefault="006509D5" w:rsidP="00622915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622915">
        <w:rPr>
          <w:rFonts w:ascii="Poppins" w:eastAsia="Calibri" w:hAnsi="Poppins" w:cs="Poppins"/>
          <w:bCs/>
          <w:sz w:val="21"/>
          <w:szCs w:val="21"/>
        </w:rPr>
        <w:t xml:space="preserve">O ile można bowiem uznać za nieaktualną obietnicę wyborczą kredytu „zero procent”, lansowaną w kampanii wyborczej przez zjednoczoną opozycję, to po przejęciu przezeń sterów rządowych pod wielkim znakiem zapytania stanie nie tylko ciągłość dopłat, ale i sama kontynuacja programu BK2%. A tego typu okoliczność mogła by postawić branżę deweloperską przed niebezpieczną perspektywą załamania popytu na historycznie rekordowo drogie mieszkania, z trudnymi do przewidzenia konsekwencjami. </w:t>
      </w:r>
    </w:p>
    <w:p w14:paraId="247763C6" w14:textId="77777777" w:rsidR="006509D5" w:rsidRPr="00622915" w:rsidRDefault="006509D5" w:rsidP="00622915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1"/>
          <w:szCs w:val="21"/>
        </w:rPr>
      </w:pPr>
      <w:r w:rsidRPr="00622915">
        <w:rPr>
          <w:rFonts w:ascii="Poppins" w:eastAsia="Calibri" w:hAnsi="Poppins" w:cs="Poppins"/>
          <w:bCs/>
          <w:sz w:val="21"/>
          <w:szCs w:val="21"/>
        </w:rPr>
        <w:t xml:space="preserve">W sumie o ile długoterminowa hossa na akcjach deweloperów mieszkaniowych jeszcze długo pozostanie niezagrożona, to w obecnej sytuacji perspektywa jej kontynuacji bez nieco dłuższej korekty ich wycen staje pod coraz większym znakiem zapytania. </w:t>
      </w:r>
    </w:p>
    <w:p w14:paraId="18F12FDC" w14:textId="77777777" w:rsidR="006509D5" w:rsidRPr="00622915" w:rsidRDefault="006509D5" w:rsidP="00622915">
      <w:pPr>
        <w:jc w:val="both"/>
        <w:rPr>
          <w:rFonts w:ascii="Poppins" w:hAnsi="Poppins" w:cs="Poppins"/>
          <w:sz w:val="21"/>
          <w:szCs w:val="21"/>
        </w:rPr>
      </w:pPr>
    </w:p>
    <w:sectPr w:rsidR="006509D5" w:rsidRPr="00622915" w:rsidSect="00A547BE">
      <w:headerReference w:type="default" r:id="rId9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9F50" w14:textId="77777777" w:rsidR="0065568E" w:rsidRDefault="0065568E" w:rsidP="00E533BD">
      <w:pPr>
        <w:spacing w:after="0" w:line="240" w:lineRule="auto"/>
      </w:pPr>
      <w:r>
        <w:separator/>
      </w:r>
    </w:p>
  </w:endnote>
  <w:endnote w:type="continuationSeparator" w:id="0">
    <w:p w14:paraId="265622C9" w14:textId="77777777" w:rsidR="0065568E" w:rsidRDefault="0065568E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806F" w14:textId="77777777" w:rsidR="0065568E" w:rsidRDefault="0065568E" w:rsidP="00E533BD">
      <w:pPr>
        <w:spacing w:after="0" w:line="240" w:lineRule="auto"/>
      </w:pPr>
      <w:r>
        <w:separator/>
      </w:r>
    </w:p>
  </w:footnote>
  <w:footnote w:type="continuationSeparator" w:id="0">
    <w:p w14:paraId="39296489" w14:textId="77777777" w:rsidR="0065568E" w:rsidRDefault="0065568E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15274"/>
    <w:rsid w:val="00016290"/>
    <w:rsid w:val="00044139"/>
    <w:rsid w:val="00056AE5"/>
    <w:rsid w:val="00057F54"/>
    <w:rsid w:val="00071AC1"/>
    <w:rsid w:val="000C2C30"/>
    <w:rsid w:val="000F0B92"/>
    <w:rsid w:val="001003CF"/>
    <w:rsid w:val="00103CEB"/>
    <w:rsid w:val="00106C6C"/>
    <w:rsid w:val="00123BF3"/>
    <w:rsid w:val="00160B41"/>
    <w:rsid w:val="00171955"/>
    <w:rsid w:val="00176DE5"/>
    <w:rsid w:val="00182A25"/>
    <w:rsid w:val="0018306C"/>
    <w:rsid w:val="00193531"/>
    <w:rsid w:val="00194693"/>
    <w:rsid w:val="001D2BE7"/>
    <w:rsid w:val="00226E77"/>
    <w:rsid w:val="002565D9"/>
    <w:rsid w:val="0027120F"/>
    <w:rsid w:val="00293F01"/>
    <w:rsid w:val="002B6D87"/>
    <w:rsid w:val="002C3A0A"/>
    <w:rsid w:val="002D686E"/>
    <w:rsid w:val="002E6753"/>
    <w:rsid w:val="0030376C"/>
    <w:rsid w:val="003217A7"/>
    <w:rsid w:val="0033008E"/>
    <w:rsid w:val="00331728"/>
    <w:rsid w:val="00367682"/>
    <w:rsid w:val="0036796F"/>
    <w:rsid w:val="00370F36"/>
    <w:rsid w:val="00382D22"/>
    <w:rsid w:val="0039417A"/>
    <w:rsid w:val="003C74F0"/>
    <w:rsid w:val="003D28BE"/>
    <w:rsid w:val="003F4D95"/>
    <w:rsid w:val="004069F6"/>
    <w:rsid w:val="00412926"/>
    <w:rsid w:val="00414F41"/>
    <w:rsid w:val="00442EBD"/>
    <w:rsid w:val="00445E56"/>
    <w:rsid w:val="0045420A"/>
    <w:rsid w:val="004B34BB"/>
    <w:rsid w:val="004C4395"/>
    <w:rsid w:val="00504683"/>
    <w:rsid w:val="00507867"/>
    <w:rsid w:val="00507B27"/>
    <w:rsid w:val="005329D7"/>
    <w:rsid w:val="005428ED"/>
    <w:rsid w:val="00562815"/>
    <w:rsid w:val="005641A0"/>
    <w:rsid w:val="00565B3F"/>
    <w:rsid w:val="00571D71"/>
    <w:rsid w:val="005756AC"/>
    <w:rsid w:val="00595106"/>
    <w:rsid w:val="005B6EC7"/>
    <w:rsid w:val="005D03E9"/>
    <w:rsid w:val="005D149B"/>
    <w:rsid w:val="005D60E5"/>
    <w:rsid w:val="005E154B"/>
    <w:rsid w:val="006170B5"/>
    <w:rsid w:val="00622915"/>
    <w:rsid w:val="006509D5"/>
    <w:rsid w:val="0065568E"/>
    <w:rsid w:val="00655E69"/>
    <w:rsid w:val="006575E9"/>
    <w:rsid w:val="0066231E"/>
    <w:rsid w:val="00693D0A"/>
    <w:rsid w:val="006C07E3"/>
    <w:rsid w:val="006D1A53"/>
    <w:rsid w:val="006E144D"/>
    <w:rsid w:val="006E194D"/>
    <w:rsid w:val="006F0A66"/>
    <w:rsid w:val="006F1831"/>
    <w:rsid w:val="00782C3E"/>
    <w:rsid w:val="00793B7D"/>
    <w:rsid w:val="007E3768"/>
    <w:rsid w:val="00801EEA"/>
    <w:rsid w:val="00823650"/>
    <w:rsid w:val="00825AD9"/>
    <w:rsid w:val="008265FD"/>
    <w:rsid w:val="00836B91"/>
    <w:rsid w:val="00884A9A"/>
    <w:rsid w:val="008A0725"/>
    <w:rsid w:val="008A109B"/>
    <w:rsid w:val="008A7207"/>
    <w:rsid w:val="008B1265"/>
    <w:rsid w:val="008C4684"/>
    <w:rsid w:val="008C55BD"/>
    <w:rsid w:val="008E239F"/>
    <w:rsid w:val="008F7B1C"/>
    <w:rsid w:val="0091278B"/>
    <w:rsid w:val="009232E8"/>
    <w:rsid w:val="00930700"/>
    <w:rsid w:val="009375F2"/>
    <w:rsid w:val="00967D21"/>
    <w:rsid w:val="0098333B"/>
    <w:rsid w:val="00990AA6"/>
    <w:rsid w:val="009A324B"/>
    <w:rsid w:val="009A3D85"/>
    <w:rsid w:val="009A4AA4"/>
    <w:rsid w:val="009C2310"/>
    <w:rsid w:val="009C234B"/>
    <w:rsid w:val="00A0126E"/>
    <w:rsid w:val="00A13972"/>
    <w:rsid w:val="00A17D1B"/>
    <w:rsid w:val="00A24093"/>
    <w:rsid w:val="00A547BE"/>
    <w:rsid w:val="00A64C0A"/>
    <w:rsid w:val="00A74FA9"/>
    <w:rsid w:val="00A85C7B"/>
    <w:rsid w:val="00A90FB0"/>
    <w:rsid w:val="00AD0B83"/>
    <w:rsid w:val="00B141B2"/>
    <w:rsid w:val="00B17444"/>
    <w:rsid w:val="00B334C3"/>
    <w:rsid w:val="00B33F85"/>
    <w:rsid w:val="00B42848"/>
    <w:rsid w:val="00B430F1"/>
    <w:rsid w:val="00B5353F"/>
    <w:rsid w:val="00B6641D"/>
    <w:rsid w:val="00B675F4"/>
    <w:rsid w:val="00B90C5F"/>
    <w:rsid w:val="00BA48E5"/>
    <w:rsid w:val="00BA4AE2"/>
    <w:rsid w:val="00BC6366"/>
    <w:rsid w:val="00BE548A"/>
    <w:rsid w:val="00BE7A24"/>
    <w:rsid w:val="00BF285E"/>
    <w:rsid w:val="00BF2F46"/>
    <w:rsid w:val="00C05921"/>
    <w:rsid w:val="00C12248"/>
    <w:rsid w:val="00C35B7E"/>
    <w:rsid w:val="00C50A12"/>
    <w:rsid w:val="00CA33AD"/>
    <w:rsid w:val="00CB7C00"/>
    <w:rsid w:val="00CC024E"/>
    <w:rsid w:val="00CC5797"/>
    <w:rsid w:val="00CD15B5"/>
    <w:rsid w:val="00CF036B"/>
    <w:rsid w:val="00D061AE"/>
    <w:rsid w:val="00D1044B"/>
    <w:rsid w:val="00D3042F"/>
    <w:rsid w:val="00D320B2"/>
    <w:rsid w:val="00D3312D"/>
    <w:rsid w:val="00D455CB"/>
    <w:rsid w:val="00D56A8C"/>
    <w:rsid w:val="00D61549"/>
    <w:rsid w:val="00DA0E39"/>
    <w:rsid w:val="00DA494D"/>
    <w:rsid w:val="00DA72F4"/>
    <w:rsid w:val="00DA7D8F"/>
    <w:rsid w:val="00DB60A0"/>
    <w:rsid w:val="00DC1870"/>
    <w:rsid w:val="00DD57D9"/>
    <w:rsid w:val="00DD6A44"/>
    <w:rsid w:val="00E25AAC"/>
    <w:rsid w:val="00E32A58"/>
    <w:rsid w:val="00E32F03"/>
    <w:rsid w:val="00E3719E"/>
    <w:rsid w:val="00E440F2"/>
    <w:rsid w:val="00E533BD"/>
    <w:rsid w:val="00E73303"/>
    <w:rsid w:val="00E84E26"/>
    <w:rsid w:val="00E97281"/>
    <w:rsid w:val="00EA18AB"/>
    <w:rsid w:val="00EA269B"/>
    <w:rsid w:val="00EC10B9"/>
    <w:rsid w:val="00EC5BB4"/>
    <w:rsid w:val="00ED61B2"/>
    <w:rsid w:val="00ED6CE9"/>
    <w:rsid w:val="00EF2044"/>
    <w:rsid w:val="00F06678"/>
    <w:rsid w:val="00F21411"/>
    <w:rsid w:val="00F2311C"/>
    <w:rsid w:val="00F27BE9"/>
    <w:rsid w:val="00F52BC1"/>
    <w:rsid w:val="00F60C6C"/>
    <w:rsid w:val="00F9538E"/>
    <w:rsid w:val="00FA42CC"/>
    <w:rsid w:val="00FB1774"/>
    <w:rsid w:val="00FB7A20"/>
    <w:rsid w:val="00FD5C22"/>
    <w:rsid w:val="00FF1AE0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semiHidden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51</cp:revision>
  <cp:lastPrinted>2022-08-09T11:51:00Z</cp:lastPrinted>
  <dcterms:created xsi:type="dcterms:W3CDTF">2023-11-20T11:45:00Z</dcterms:created>
  <dcterms:modified xsi:type="dcterms:W3CDTF">2023-11-22T07:23:00Z</dcterms:modified>
</cp:coreProperties>
</file>